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34E0" w14:textId="77777777" w:rsidR="00052E08" w:rsidRDefault="00052E08" w:rsidP="00052E0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C54AD84" wp14:editId="479162D1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44F4" w14:textId="77777777" w:rsidR="00052E08" w:rsidRDefault="00052E08" w:rsidP="00052E0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5595F45E" w14:textId="77777777" w:rsidR="00052E08" w:rsidRDefault="00052E08" w:rsidP="00052E0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4CCAF09" w14:textId="77777777" w:rsidR="00052E08" w:rsidRDefault="00052E08" w:rsidP="00052E08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6B63D3E5" w14:textId="77777777" w:rsidR="00052E08" w:rsidRDefault="00052E08" w:rsidP="00052E0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6FC4DA1F" w14:textId="77777777" w:rsidR="00052E08" w:rsidRDefault="00052E08" w:rsidP="00052E0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DF0C0AF" w14:textId="77777777" w:rsidR="00052E08" w:rsidRDefault="00052E08" w:rsidP="00052E0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81CE94B" w14:textId="77777777" w:rsidR="00052E08" w:rsidRDefault="00052E08" w:rsidP="00052E0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82EB57F" w14:textId="5C11163A" w:rsidR="00052E08" w:rsidRDefault="00052E08" w:rsidP="00052E08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</w:t>
      </w:r>
      <w:r w:rsidR="002B349F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a disponibilização de avaliações NEUROPSICOLÓ</w:t>
      </w:r>
      <w:r w:rsidR="003C1EE5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GICAS gratuitas para investigação de transtornos como Transtorno do Espectro Autista</w:t>
      </w:r>
      <w:r w:rsidR="006C5F89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 w:rsidR="003C1EE5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(TEA), Transtorno do Opositivo Desafiador</w:t>
      </w:r>
      <w:r w:rsidR="006C5F89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 w:rsidR="003C1EE5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(TOD), Transtorno de Déficit de Atenção e Hiperatividade (TDAH) e Transtornos Globais do Desenvolvimento (TGD) para crianças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neste Município de Goiana.</w:t>
      </w:r>
      <w:bookmarkEnd w:id="1"/>
    </w:p>
    <w:p w14:paraId="52F5750B" w14:textId="77777777" w:rsidR="00052E08" w:rsidRDefault="00052E08" w:rsidP="00052E08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3DEE8630" w14:textId="1716A9C2" w:rsidR="00052E08" w:rsidRPr="003C1EE5" w:rsidRDefault="00052E08" w:rsidP="003C1EE5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029EAE31" w14:textId="5B7B3C8F" w:rsidR="00052E08" w:rsidRDefault="00052E08" w:rsidP="00052E0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 w:rsidR="003C1EE5">
        <w:rPr>
          <w:rFonts w:ascii="Arial" w:hAnsi="Arial" w:cs="Arial"/>
          <w:b/>
          <w:bCs/>
          <w:color w:val="000000"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>JUSTIFICATIVA</w:t>
      </w:r>
    </w:p>
    <w:p w14:paraId="74AE876C" w14:textId="74AC1024" w:rsidR="006C3448" w:rsidRPr="001A01B8" w:rsidRDefault="003C1EE5" w:rsidP="00052E0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A oferta gratuita </w:t>
      </w:r>
      <w:r w:rsidR="00B743EE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de avaliação neuropsicológica para a investigação de transtornos como o Transtorno do Espectro Autista (TEA), Transtorno Opositivo Desafi9ador (TOD), Transtorno de Déficit de Atenção e Hiperatividade (TDAH) e Transtornos Globais do Desenvolvimento (TGD) em crianças no município é uma medida de grande importância para a promoção da saúde e bem-estar infantil. Esses transtornos afetam diretamente o desenvolvimento </w:t>
      </w:r>
      <w:r w:rsidR="00B50C7A" w:rsidRPr="001A01B8">
        <w:rPr>
          <w:rFonts w:ascii="Arial" w:hAnsi="Arial" w:cs="Arial"/>
          <w:b/>
          <w:bCs/>
          <w:color w:val="000000"/>
          <w:sz w:val="20"/>
          <w:szCs w:val="20"/>
        </w:rPr>
        <w:t>cognitivo, comportamental e social das crianças interferindo em sua capacidade de aprendizagem e convivência em diferentes ambientes, como a escola e a própria família. No entanto, muitos pais e responsáveis, principalmente em comunidades mais vulneráveis, enfrentam dificuldades de acesso a diagnósticos adequados, seja por falta de recursos financeiros, seja por desconhecimento dos serviços especializados.</w:t>
      </w:r>
      <w:r w:rsidR="003E5280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 Oferecer essa avaliação de forma gratuita representa um passo crucial para garantir que as crianças que apresentam </w:t>
      </w:r>
      <w:r w:rsidR="003F2B39" w:rsidRPr="001A01B8">
        <w:rPr>
          <w:rFonts w:ascii="Arial" w:hAnsi="Arial" w:cs="Arial"/>
          <w:b/>
          <w:bCs/>
          <w:color w:val="000000"/>
          <w:sz w:val="20"/>
          <w:szCs w:val="20"/>
        </w:rPr>
        <w:t>sintomas relacionadas a esses transtornos recebam o acompanhamento necessário desde cedo, facilitando a implementação de intervenções adequadas. O diagnóstico precoce é fundamental para que essas crianças possam ser encaminhadas a tratamentos e terapias apropriadas, aumentando significativamente suas chances de uma melhor adaptação social, escolar e emocional.</w:t>
      </w:r>
      <w:r w:rsidR="00800F40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25C03" w:rsidRPr="001A01B8">
        <w:rPr>
          <w:rFonts w:ascii="Arial" w:hAnsi="Arial" w:cs="Arial"/>
          <w:b/>
          <w:bCs/>
          <w:color w:val="000000"/>
          <w:sz w:val="20"/>
          <w:szCs w:val="20"/>
        </w:rPr>
        <w:t>Além disso, a identificação de</w:t>
      </w:r>
      <w:r w:rsidR="00286E69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 transtornos como TEA, TOD, TDAH e TGD</w:t>
      </w:r>
      <w:r w:rsidR="00A06E30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 permite o desenvolvimento de planos educacionais individualizados, que melhor atendam </w:t>
      </w:r>
      <w:proofErr w:type="gramStart"/>
      <w:r w:rsidR="00A06E30" w:rsidRPr="001A01B8">
        <w:rPr>
          <w:rFonts w:ascii="Arial" w:hAnsi="Arial" w:cs="Arial"/>
          <w:b/>
          <w:bCs/>
          <w:color w:val="000000"/>
          <w:sz w:val="20"/>
          <w:szCs w:val="20"/>
        </w:rPr>
        <w:t>ás</w:t>
      </w:r>
      <w:proofErr w:type="gramEnd"/>
      <w:r w:rsidR="00A06E30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 necessidades da criança, promovendo uma educação mais inclusiva e equitativa.</w:t>
      </w:r>
      <w:r w:rsidR="00325C03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06E30" w:rsidRPr="001A01B8">
        <w:rPr>
          <w:rFonts w:ascii="Arial" w:hAnsi="Arial" w:cs="Arial"/>
          <w:b/>
          <w:bCs/>
          <w:color w:val="000000"/>
          <w:sz w:val="20"/>
          <w:szCs w:val="20"/>
        </w:rPr>
        <w:t>Outro ponto relevante</w:t>
      </w:r>
      <w:r w:rsidR="0061637C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06E30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é que </w:t>
      </w:r>
      <w:r w:rsidR="0061637C" w:rsidRPr="001A01B8">
        <w:rPr>
          <w:rFonts w:ascii="Arial" w:hAnsi="Arial" w:cs="Arial"/>
          <w:b/>
          <w:bCs/>
          <w:color w:val="000000"/>
          <w:sz w:val="20"/>
          <w:szCs w:val="20"/>
        </w:rPr>
        <w:t>a oferta gratuita da avaliação neuropsicológica também alivia a pressão sobre as famílias</w:t>
      </w:r>
      <w:r w:rsidR="006E010A" w:rsidRPr="001A01B8">
        <w:rPr>
          <w:rFonts w:ascii="Arial" w:hAnsi="Arial" w:cs="Arial"/>
          <w:b/>
          <w:bCs/>
          <w:color w:val="000000"/>
          <w:sz w:val="20"/>
          <w:szCs w:val="20"/>
        </w:rPr>
        <w:t>, que muitas vezes acabam arcando com altos custos em clinicas particulares, ou ficam na fila de espera por serviços avaliações</w:t>
      </w:r>
      <w:r w:rsidR="001A01B8" w:rsidRPr="001A01B8">
        <w:rPr>
          <w:rFonts w:ascii="Arial" w:hAnsi="Arial" w:cs="Arial"/>
          <w:b/>
          <w:bCs/>
          <w:color w:val="000000"/>
          <w:sz w:val="20"/>
          <w:szCs w:val="20"/>
        </w:rPr>
        <w:t xml:space="preserve"> do sistema público de saúde.</w:t>
      </w:r>
    </w:p>
    <w:bookmarkEnd w:id="2"/>
    <w:p w14:paraId="1C8D3D9C" w14:textId="77777777" w:rsidR="00052E08" w:rsidRDefault="00052E08" w:rsidP="00052E0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56D0AFC" w14:textId="3ED286E8" w:rsidR="00052E08" w:rsidRDefault="00052E08" w:rsidP="001A01B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3C1EE5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de </w:t>
      </w:r>
      <w:r w:rsidR="003C1EE5">
        <w:rPr>
          <w:rFonts w:ascii="Arial" w:hAnsi="Arial" w:cs="Arial"/>
          <w:color w:val="000000"/>
        </w:rPr>
        <w:t>setembro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434B186C" w14:textId="77777777" w:rsidR="00052E08" w:rsidRDefault="00052E08" w:rsidP="00052E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32F4CDE3" w14:textId="77777777" w:rsidR="00052E08" w:rsidRDefault="00052E08" w:rsidP="00052E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748B5175" w14:textId="77777777" w:rsidR="00052E08" w:rsidRDefault="00052E08" w:rsidP="00052E08">
      <w:r>
        <w:rPr>
          <w:noProof/>
        </w:rPr>
        <w:drawing>
          <wp:anchor distT="0" distB="0" distL="0" distR="0" simplePos="0" relativeHeight="251659264" behindDoc="1" locked="0" layoutInCell="1" allowOverlap="1" wp14:anchorId="2F88B8CE" wp14:editId="2B26784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0E719" w14:textId="77777777" w:rsidR="00052E08" w:rsidRDefault="00052E08" w:rsidP="00052E08"/>
    <w:p w14:paraId="466E6BA5" w14:textId="77777777" w:rsidR="00052E08" w:rsidRDefault="00052E08" w:rsidP="00052E08">
      <w:r>
        <w:rPr>
          <w:noProof/>
          <w:lang w:eastAsia="pt-BR"/>
        </w:rPr>
        <w:drawing>
          <wp:inline distT="0" distB="0" distL="0" distR="0" wp14:anchorId="7DDFF8AD" wp14:editId="1454055A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47050" w14:textId="77777777" w:rsidR="00052E08" w:rsidRDefault="00052E08" w:rsidP="00052E08"/>
    <w:p w14:paraId="31F55899" w14:textId="77777777" w:rsidR="00052E08" w:rsidRDefault="00052E08" w:rsidP="00052E08"/>
    <w:p w14:paraId="368FFB37" w14:textId="77777777" w:rsidR="00E265B1" w:rsidRDefault="00E265B1"/>
    <w:sectPr w:rsidR="00E26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8E"/>
    <w:rsid w:val="00052E08"/>
    <w:rsid w:val="001A01B8"/>
    <w:rsid w:val="00286E69"/>
    <w:rsid w:val="002928E1"/>
    <w:rsid w:val="002B349F"/>
    <w:rsid w:val="00325C03"/>
    <w:rsid w:val="003C1EE5"/>
    <w:rsid w:val="003E5280"/>
    <w:rsid w:val="003F2B39"/>
    <w:rsid w:val="00451683"/>
    <w:rsid w:val="0061637C"/>
    <w:rsid w:val="006C3448"/>
    <w:rsid w:val="006C5F89"/>
    <w:rsid w:val="006E010A"/>
    <w:rsid w:val="00800F40"/>
    <w:rsid w:val="00A06E30"/>
    <w:rsid w:val="00A4788E"/>
    <w:rsid w:val="00B50C7A"/>
    <w:rsid w:val="00B743EE"/>
    <w:rsid w:val="00E2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1F1A"/>
  <w15:chartTrackingRefBased/>
  <w15:docId w15:val="{AB31983A-1249-49AD-BCBE-D546DF18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08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2025-09-30T14:49:00Z</dcterms:created>
  <dcterms:modified xsi:type="dcterms:W3CDTF">2025-09-30T14:49:00Z</dcterms:modified>
</cp:coreProperties>
</file>